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75" w:type="dxa"/>
          <w:left w:w="75" w:type="dxa"/>
          <w:bottom w:w="75" w:type="dxa"/>
          <w:right w:w="75" w:type="dxa"/>
        </w:tblCellMar>
      </w:tblPr>
      <w:tblGrid>
        <w:gridCol w:w="870"/>
        <w:gridCol w:w="1118"/>
        <w:gridCol w:w="796"/>
        <w:gridCol w:w="2633"/>
        <w:gridCol w:w="1378"/>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bookmarkStart w:id="0" w:name="_GoBack"/>
            <w:r>
              <w:rPr>
                <w:rFonts w:ascii="Arial" w:hAnsi="Arial" w:cs="Arial"/>
                <w:sz w:val="18"/>
                <w:szCs w:val="18"/>
              </w:rPr>
              <w:t>序号</w:t>
            </w:r>
          </w:p>
        </w:tc>
        <w:tc>
          <w:tcPr>
            <w:tcW w:w="111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计划指南名称</w:t>
            </w:r>
          </w:p>
        </w:tc>
        <w:tc>
          <w:tcPr>
            <w:tcW w:w="796"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批次</w:t>
            </w: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专项名称</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推荐处室</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推荐处室联系人及电话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w:t>
            </w:r>
          </w:p>
        </w:tc>
        <w:tc>
          <w:tcPr>
            <w:tcW w:w="111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科技部关于发布国家重点研发计划干细胞及转化研究等重点专项2017年度项目申报指南的通知（国科发资〔2016〕304号）</w:t>
            </w:r>
          </w:p>
        </w:tc>
        <w:tc>
          <w:tcPr>
            <w:tcW w:w="796"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1批次</w:t>
            </w: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（1）“干细胞及转化研究”试点专项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沈思</w:t>
            </w:r>
            <w:r>
              <w:rPr>
                <w:rFonts w:hint="default" w:ascii="Arial" w:hAnsi="Arial" w:cs="Arial"/>
                <w:sz w:val="18"/>
                <w:szCs w:val="18"/>
              </w:rPr>
              <w:br w:type="textWrapping"/>
            </w:r>
            <w:r>
              <w:rPr>
                <w:rFonts w:hint="default" w:ascii="Arial" w:hAnsi="Arial" w:cs="Arial"/>
                <w:sz w:val="18"/>
                <w:szCs w:val="18"/>
              </w:rPr>
              <w:t>020-83163902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（2）“纳米科技”重点专项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基础处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段依竺</w:t>
            </w:r>
            <w:r>
              <w:rPr>
                <w:rFonts w:hint="default" w:ascii="Arial" w:hAnsi="Arial" w:cs="Arial"/>
                <w:sz w:val="18"/>
                <w:szCs w:val="18"/>
              </w:rPr>
              <w:br w:type="textWrapping"/>
            </w:r>
            <w:r>
              <w:rPr>
                <w:rFonts w:hint="default" w:ascii="Arial" w:hAnsi="Arial" w:cs="Arial"/>
                <w:sz w:val="18"/>
                <w:szCs w:val="18"/>
              </w:rPr>
              <w:t>020-83163335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（3）“量子调控与量子信息”重点专项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高新处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文晓芸</w:t>
            </w:r>
            <w:r>
              <w:rPr>
                <w:rFonts w:hint="default" w:ascii="Arial" w:hAnsi="Arial" w:cs="Arial"/>
                <w:sz w:val="18"/>
                <w:szCs w:val="18"/>
              </w:rPr>
              <w:br w:type="textWrapping"/>
            </w:r>
            <w:r>
              <w:rPr>
                <w:rFonts w:hint="default" w:ascii="Arial" w:hAnsi="Arial" w:cs="Arial"/>
                <w:sz w:val="18"/>
                <w:szCs w:val="18"/>
              </w:rPr>
              <w:t>020-83163877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（4）“大科学装置前沿研究”重点专项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基础处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段依竺</w:t>
            </w:r>
            <w:r>
              <w:rPr>
                <w:rFonts w:hint="default" w:ascii="Arial" w:hAnsi="Arial" w:cs="Arial"/>
                <w:sz w:val="18"/>
                <w:szCs w:val="18"/>
              </w:rPr>
              <w:br w:type="textWrapping"/>
            </w:r>
            <w:r>
              <w:rPr>
                <w:rFonts w:hint="default" w:ascii="Arial" w:hAnsi="Arial" w:cs="Arial"/>
                <w:sz w:val="18"/>
                <w:szCs w:val="18"/>
              </w:rPr>
              <w:t>020-83163335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5</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（5）“蛋白质机器与生命过程调控”重点专项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沈思</w:t>
            </w:r>
            <w:r>
              <w:rPr>
                <w:rFonts w:hint="default" w:ascii="Arial" w:hAnsi="Arial" w:cs="Arial"/>
                <w:sz w:val="18"/>
                <w:szCs w:val="18"/>
              </w:rPr>
              <w:br w:type="textWrapping"/>
            </w:r>
            <w:r>
              <w:rPr>
                <w:rFonts w:hint="default" w:ascii="Arial" w:hAnsi="Arial" w:cs="Arial"/>
                <w:sz w:val="18"/>
                <w:szCs w:val="18"/>
              </w:rPr>
              <w:t>020-83163902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6</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（6）“全球变化及应对”重点专项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7</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（7）“化学肥料和农药减施增效综合技术研发”试点专项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叶毓峰</w:t>
            </w:r>
            <w:r>
              <w:rPr>
                <w:rFonts w:hint="default" w:ascii="Arial" w:hAnsi="Arial" w:cs="Arial"/>
                <w:sz w:val="18"/>
                <w:szCs w:val="18"/>
              </w:rPr>
              <w:br w:type="textWrapping"/>
            </w:r>
            <w:r>
              <w:rPr>
                <w:rFonts w:hint="default" w:ascii="Arial" w:hAnsi="Arial" w:cs="Arial"/>
                <w:sz w:val="18"/>
                <w:szCs w:val="18"/>
              </w:rPr>
              <w:t>020-83163906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8</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（8）“粮食丰产增效科技创新”重点专项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9</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（9）“农业面源和重金属污染农田综合防治与修复技术研发”重点专项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10</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（10）“七大农作物育种”试点专项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11</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（11）“现代食品加工及粮食收储运技术与装备”重点专项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（12）“畜禽重大疫病防控与高效安全养殖综合技术研发”重点专项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（13）“林业资源培育及高效利用技术创新”重点专项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（14）“智能农机装备”重点专项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w:t>
            </w:r>
          </w:p>
        </w:tc>
        <w:tc>
          <w:tcPr>
            <w:tcW w:w="111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科技部关于发布国家重点研发计划大气污染成因与控制技术研究等重点专项2017年度项目申报指南的通知（国科发资〔2016〕308号）</w:t>
            </w:r>
          </w:p>
        </w:tc>
        <w:tc>
          <w:tcPr>
            <w:tcW w:w="796"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2批次</w:t>
            </w: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（1）“大气污染成因与控制技术研究”试点专项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陈毓君</w:t>
            </w:r>
            <w:r>
              <w:rPr>
                <w:rFonts w:hint="default" w:ascii="Arial" w:hAnsi="Arial" w:cs="Arial"/>
                <w:sz w:val="18"/>
                <w:szCs w:val="18"/>
              </w:rPr>
              <w:br w:type="textWrapping"/>
            </w:r>
            <w:r>
              <w:rPr>
                <w:rFonts w:hint="default" w:ascii="Arial" w:hAnsi="Arial" w:cs="Arial"/>
                <w:sz w:val="18"/>
                <w:szCs w:val="18"/>
              </w:rPr>
              <w:t>020-83163904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（2）“深海关键技术与装备”重点专项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（3）“水资源高效开发利用”重点专项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（4）“典型脆弱生态修复与保护研究”重点专项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5</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（5）“深地资源勘查开采”重点专项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6</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（6）“绿色建筑及建筑工业化”重点专项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7</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（7）“公共安全风险防控与应急技术装备”重点专项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8</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（8）“海洋环境安全保障”重点专项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9</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（9）“数字诊疗装备研发”试点专项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沈思</w:t>
            </w:r>
            <w:r>
              <w:rPr>
                <w:rFonts w:hint="default" w:ascii="Arial" w:hAnsi="Arial" w:cs="Arial"/>
                <w:sz w:val="18"/>
                <w:szCs w:val="18"/>
              </w:rPr>
              <w:br w:type="textWrapping"/>
            </w:r>
            <w:r>
              <w:rPr>
                <w:rFonts w:hint="default" w:ascii="Arial" w:hAnsi="Arial" w:cs="Arial"/>
                <w:sz w:val="18"/>
                <w:szCs w:val="18"/>
              </w:rPr>
              <w:t>020-83163902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10</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（10）“生物医用材料研发与组织器官修复替代”重点专项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11</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（11）“生物安全关键技术研发”重点专项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（12）“重大慢性非传染性疾病防控研究”重点专项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（13）“精准医学研究”重点专项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（14）“生殖健康及重大出生缺陷防控研究”重点专项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w:t>
            </w:r>
          </w:p>
        </w:tc>
        <w:tc>
          <w:tcPr>
            <w:tcW w:w="111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科技部关于发布国家重点研发计划新能源汽车等重点专项2017年度项目申报指南的通知（国科发资〔2016〕305号）</w:t>
            </w:r>
          </w:p>
        </w:tc>
        <w:tc>
          <w:tcPr>
            <w:tcW w:w="796"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3批次</w:t>
            </w: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（1）“新能源汽车”试点专项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高新处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文晓芸</w:t>
            </w:r>
            <w:r>
              <w:rPr>
                <w:rFonts w:hint="default" w:ascii="Arial" w:hAnsi="Arial" w:cs="Arial"/>
                <w:sz w:val="18"/>
                <w:szCs w:val="18"/>
              </w:rPr>
              <w:br w:type="textWrapping"/>
            </w:r>
            <w:r>
              <w:rPr>
                <w:rFonts w:hint="default" w:ascii="Arial" w:hAnsi="Arial" w:cs="Arial"/>
                <w:sz w:val="18"/>
                <w:szCs w:val="18"/>
              </w:rPr>
              <w:t>020-83163877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（2）“高性能计算”重点专项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（3）“重点基础材料技术提升与产业化”重点专项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产学研处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张开升</w:t>
            </w:r>
            <w:r>
              <w:rPr>
                <w:rFonts w:hint="default" w:ascii="Arial" w:hAnsi="Arial" w:cs="Arial"/>
                <w:sz w:val="18"/>
                <w:szCs w:val="18"/>
              </w:rPr>
              <w:br w:type="textWrapping"/>
            </w:r>
            <w:r>
              <w:rPr>
                <w:rFonts w:hint="default" w:ascii="Arial" w:hAnsi="Arial" w:cs="Arial"/>
                <w:sz w:val="18"/>
                <w:szCs w:val="18"/>
              </w:rPr>
              <w:t>020-83163947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（4）“战略性先进电子材料”重点专项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5</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（5）“地球观测与导航”重点专项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高新处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文晓芸</w:t>
            </w:r>
            <w:r>
              <w:rPr>
                <w:rFonts w:hint="default" w:ascii="Arial" w:hAnsi="Arial" w:cs="Arial"/>
                <w:sz w:val="18"/>
                <w:szCs w:val="18"/>
              </w:rPr>
              <w:br w:type="textWrapping"/>
            </w:r>
            <w:r>
              <w:rPr>
                <w:rFonts w:hint="default" w:ascii="Arial" w:hAnsi="Arial" w:cs="Arial"/>
                <w:sz w:val="18"/>
                <w:szCs w:val="18"/>
              </w:rPr>
              <w:t>020-83163877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6</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（6）“煤炭清洁高效利用和新型节能技术”重点专项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社农处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陈毓君</w:t>
            </w:r>
            <w:r>
              <w:rPr>
                <w:rFonts w:hint="default" w:ascii="Arial" w:hAnsi="Arial" w:cs="Arial"/>
                <w:sz w:val="18"/>
                <w:szCs w:val="18"/>
              </w:rPr>
              <w:br w:type="textWrapping"/>
            </w:r>
            <w:r>
              <w:rPr>
                <w:rFonts w:hint="default" w:ascii="Arial" w:hAnsi="Arial" w:cs="Arial"/>
                <w:sz w:val="18"/>
                <w:szCs w:val="18"/>
              </w:rPr>
              <w:t>020-83163904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7</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（7）“重大科学仪器设备开发”重点专项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基础处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段依竺</w:t>
            </w:r>
            <w:r>
              <w:rPr>
                <w:rFonts w:hint="default" w:ascii="Arial" w:hAnsi="Arial" w:cs="Arial"/>
                <w:sz w:val="18"/>
                <w:szCs w:val="18"/>
              </w:rPr>
              <w:br w:type="textWrapping"/>
            </w:r>
            <w:r>
              <w:rPr>
                <w:rFonts w:hint="default" w:ascii="Arial" w:hAnsi="Arial" w:cs="Arial"/>
                <w:sz w:val="18"/>
                <w:szCs w:val="18"/>
              </w:rPr>
              <w:t>020-83163335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8</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（8）“云计算和大数据”重点专项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9</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（9）“增材制造与激光制造”重点专项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产学研处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张开升</w:t>
            </w:r>
            <w:r>
              <w:rPr>
                <w:rFonts w:hint="default" w:ascii="Arial" w:hAnsi="Arial" w:cs="Arial"/>
                <w:sz w:val="18"/>
                <w:szCs w:val="18"/>
              </w:rPr>
              <w:br w:type="textWrapping"/>
            </w:r>
            <w:r>
              <w:rPr>
                <w:rFonts w:hint="default" w:ascii="Arial" w:hAnsi="Arial" w:cs="Arial"/>
                <w:sz w:val="18"/>
                <w:szCs w:val="18"/>
              </w:rPr>
              <w:t>020-83163947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10</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（10）“先进轨道交通”重点专项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曾颢</w:t>
            </w:r>
            <w:r>
              <w:rPr>
                <w:rFonts w:hint="default" w:ascii="Arial" w:hAnsi="Arial" w:cs="Arial"/>
                <w:sz w:val="18"/>
                <w:szCs w:val="18"/>
              </w:rPr>
              <w:br w:type="textWrapping"/>
            </w:r>
            <w:r>
              <w:rPr>
                <w:rFonts w:hint="default" w:ascii="Arial" w:hAnsi="Arial" w:cs="Arial"/>
                <w:sz w:val="18"/>
                <w:szCs w:val="18"/>
              </w:rPr>
              <w:t>020-83163384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11</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（11）“国家质量基础的共性技术研究与应用”重点专项</w:t>
            </w:r>
          </w:p>
        </w:tc>
        <w:tc>
          <w:tcPr>
            <w:tcW w:w="137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基础处</w:t>
            </w:r>
          </w:p>
        </w:tc>
        <w:tc>
          <w:tcPr>
            <w:tcW w:w="1658" w:type="dxa"/>
            <w:vMerge w:val="restart"/>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段依竺</w:t>
            </w:r>
            <w:r>
              <w:rPr>
                <w:rFonts w:hint="default" w:ascii="Arial" w:hAnsi="Arial" w:cs="Arial"/>
                <w:sz w:val="18"/>
                <w:szCs w:val="18"/>
              </w:rPr>
              <w:br w:type="textWrapping"/>
            </w:r>
            <w:r>
              <w:rPr>
                <w:rFonts w:hint="default" w:ascii="Arial" w:hAnsi="Arial" w:cs="Arial"/>
                <w:sz w:val="18"/>
                <w:szCs w:val="18"/>
              </w:rPr>
              <w:t>020-83163335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12</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（12）“材料基因工程关键技术与支撑平台”重点专项</w:t>
            </w:r>
          </w:p>
        </w:tc>
        <w:tc>
          <w:tcPr>
            <w:tcW w:w="1378" w:type="dxa"/>
            <w:vMerge w:val="continue"/>
            <w:tcBorders>
              <w:tl2br w:val="nil"/>
              <w:tr2bl w:val="nil"/>
            </w:tcBorders>
            <w:shd w:val="clear" w:color="auto" w:fill="auto"/>
            <w:vAlign w:val="center"/>
          </w:tcPr>
          <w:p>
            <w:pPr>
              <w:rPr>
                <w:rFonts w:hint="default" w:ascii="Arial" w:hAnsi="Arial" w:cs="Arial"/>
                <w:sz w:val="18"/>
                <w:szCs w:val="18"/>
              </w:rPr>
            </w:pPr>
          </w:p>
        </w:tc>
        <w:tc>
          <w:tcPr>
            <w:tcW w:w="1658" w:type="dxa"/>
            <w:vMerge w:val="continue"/>
            <w:tcBorders>
              <w:tl2br w:val="nil"/>
              <w:tr2bl w:val="nil"/>
            </w:tcBorders>
            <w:shd w:val="clear" w:color="auto" w:fill="auto"/>
            <w:vAlign w:val="center"/>
          </w:tcPr>
          <w:p>
            <w:pP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13</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（13）“网络空间安全”重点专项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高新处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文晓芸</w:t>
            </w:r>
            <w:r>
              <w:rPr>
                <w:rFonts w:hint="default" w:ascii="Arial" w:hAnsi="Arial" w:cs="Arial"/>
                <w:sz w:val="18"/>
                <w:szCs w:val="18"/>
              </w:rPr>
              <w:br w:type="textWrapping"/>
            </w:r>
            <w:r>
              <w:rPr>
                <w:rFonts w:hint="default" w:ascii="Arial" w:hAnsi="Arial" w:cs="Arial"/>
                <w:sz w:val="18"/>
                <w:szCs w:val="18"/>
              </w:rPr>
              <w:t>020-83163877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5" w:type="dxa"/>
            <w:left w:w="75" w:type="dxa"/>
            <w:bottom w:w="75" w:type="dxa"/>
            <w:right w:w="75" w:type="dxa"/>
          </w:tblCellMar>
        </w:tblPrEx>
        <w:tc>
          <w:tcPr>
            <w:tcW w:w="870"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14</w:t>
            </w:r>
          </w:p>
        </w:tc>
        <w:tc>
          <w:tcPr>
            <w:tcW w:w="1118" w:type="dxa"/>
            <w:vMerge w:val="continue"/>
            <w:tcBorders>
              <w:tl2br w:val="nil"/>
              <w:tr2bl w:val="nil"/>
            </w:tcBorders>
            <w:shd w:val="clear" w:color="auto" w:fill="auto"/>
            <w:vAlign w:val="center"/>
          </w:tcPr>
          <w:p>
            <w:pPr>
              <w:rPr>
                <w:rFonts w:hint="default" w:ascii="Arial" w:hAnsi="Arial" w:cs="Arial"/>
                <w:sz w:val="18"/>
                <w:szCs w:val="18"/>
              </w:rPr>
            </w:pPr>
          </w:p>
        </w:tc>
        <w:tc>
          <w:tcPr>
            <w:tcW w:w="796" w:type="dxa"/>
            <w:vMerge w:val="continue"/>
            <w:tcBorders>
              <w:tl2br w:val="nil"/>
              <w:tr2bl w:val="nil"/>
            </w:tcBorders>
            <w:shd w:val="clear" w:color="auto" w:fill="auto"/>
            <w:vAlign w:val="center"/>
          </w:tcPr>
          <w:p>
            <w:pPr>
              <w:rPr>
                <w:rFonts w:hint="default" w:ascii="Arial" w:hAnsi="Arial" w:cs="Arial"/>
                <w:sz w:val="18"/>
                <w:szCs w:val="18"/>
              </w:rPr>
            </w:pPr>
          </w:p>
        </w:tc>
        <w:tc>
          <w:tcPr>
            <w:tcW w:w="2633" w:type="dxa"/>
            <w:tcBorders>
              <w:tl2br w:val="nil"/>
              <w:tr2bl w:val="nil"/>
            </w:tcBorders>
            <w:shd w:val="clear" w:color="auto" w:fill="auto"/>
            <w:vAlign w:val="center"/>
          </w:tcPr>
          <w:p>
            <w:pPr>
              <w:pStyle w:val="2"/>
              <w:keepNext w:val="0"/>
              <w:keepLines w:val="0"/>
              <w:widowControl/>
              <w:suppressLineNumbers w:val="0"/>
              <w:spacing w:line="330" w:lineRule="atLeast"/>
              <w:jc w:val="left"/>
            </w:pPr>
            <w:r>
              <w:rPr>
                <w:rFonts w:hint="default" w:ascii="Arial" w:hAnsi="Arial" w:cs="Arial"/>
                <w:sz w:val="18"/>
                <w:szCs w:val="18"/>
              </w:rPr>
              <w:t>（14）“智能电网技术与装备”重点专项</w:t>
            </w:r>
          </w:p>
        </w:tc>
        <w:tc>
          <w:tcPr>
            <w:tcW w:w="137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产学研处</w:t>
            </w:r>
          </w:p>
        </w:tc>
        <w:tc>
          <w:tcPr>
            <w:tcW w:w="1658" w:type="dxa"/>
            <w:tcBorders>
              <w:tl2br w:val="nil"/>
              <w:tr2bl w:val="nil"/>
            </w:tcBorders>
            <w:shd w:val="clear" w:color="auto" w:fill="auto"/>
            <w:vAlign w:val="center"/>
          </w:tcPr>
          <w:p>
            <w:pPr>
              <w:pStyle w:val="2"/>
              <w:keepNext w:val="0"/>
              <w:keepLines w:val="0"/>
              <w:widowControl/>
              <w:suppressLineNumbers w:val="0"/>
              <w:spacing w:line="330" w:lineRule="atLeast"/>
              <w:jc w:val="center"/>
            </w:pPr>
            <w:r>
              <w:rPr>
                <w:rFonts w:hint="default" w:ascii="Arial" w:hAnsi="Arial" w:cs="Arial"/>
                <w:sz w:val="18"/>
                <w:szCs w:val="18"/>
              </w:rPr>
              <w:t>曾颢</w:t>
            </w:r>
            <w:r>
              <w:rPr>
                <w:rFonts w:hint="default" w:ascii="Arial" w:hAnsi="Arial" w:cs="Arial"/>
                <w:sz w:val="18"/>
                <w:szCs w:val="18"/>
              </w:rPr>
              <w:br w:type="textWrapping"/>
            </w:r>
            <w:r>
              <w:rPr>
                <w:rFonts w:hint="default" w:ascii="Arial" w:hAnsi="Arial" w:cs="Arial"/>
                <w:sz w:val="18"/>
                <w:szCs w:val="18"/>
              </w:rPr>
              <w:t>020-83163384</w:t>
            </w:r>
          </w:p>
        </w:tc>
      </w:tr>
      <w:bookmarkEnd w:id="0"/>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44997"/>
    <w:rsid w:val="5D89178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7DA3"/>
      <w:u w:val="single"/>
    </w:rPr>
  </w:style>
  <w:style w:type="character" w:styleId="5">
    <w:name w:val="Hyperlink"/>
    <w:basedOn w:val="3"/>
    <w:qFormat/>
    <w:uiPriority w:val="0"/>
    <w:rPr>
      <w:color w:val="007DA3"/>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1195</Words>
  <Characters>1447</Characters>
  <Lines>0</Lines>
  <Paragraphs>0</Paragraphs>
  <ScaleCrop>false</ScaleCrop>
  <LinksUpToDate>false</LinksUpToDate>
  <CharactersWithSpaces>1447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2016-11-14T06:52:25Z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